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Государственное регулирование страховой деятельности в зарубежных странах</w:t>
            </w:r>
          </w:p>
          <w:p>
            <w:pPr>
              <w:jc w:val="center"/>
              <w:spacing w:after="0" w:line="240" w:lineRule="auto"/>
              <w:rPr>
                <w:sz w:val="32"/>
                <w:szCs w:val="32"/>
              </w:rPr>
            </w:pPr>
            <w:r>
              <w:rPr>
                <w:rFonts w:ascii="Times New Roman" w:hAnsi="Times New Roman" w:cs="Times New Roman"/>
                <w:color w:val="#000000"/>
                <w:sz w:val="32"/>
                <w:szCs w:val="32"/>
              </w:rPr>
              <w:t> К.М.02.ДВ.01.02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1.0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«Государственное регулирование страховой деятельности в зарубежных странах»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К.М.02.ДВ.01.02 «Государственное регулирование страховой деятельности в зарубежных странах».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«Государственное регулирование страховой деятельности в зарубежных странах»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андеррайтинг в страховой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международную и российскую практику в области организации деятельности по вопросам оценки страховых рисков, стандарты саморегулируемой организации в сфере финансового рынка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уметь рассчитывать уровень рисков, влияющих на вероятность наступления страховых событий, разрабатывать предложения по оценке страховых рисков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уметь анализировать статистическую и иную доступную информацию по оценке страховых рисков, систематизировать информацию по степени влияния потенциальных рисков для уменьшения вероятности наступления страхового события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владеть навыками расчетов уровня рисков, влияющих на вероятность наступления страховых событий,  анализом страховых рисков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владеть  навыками взаимодействия с подразделениями страховой организации по вопросам оценки страховых рисков, разработки внутренних документов, в том числе по страховой организации по оценке страховых рисков, проверки качества оценки страховых рисков сотрудниками в соответствии с требованиями страховой организации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владеть навыками проведения необходимых консультаций с внешними экспертами и специалистами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К.М.02.ДВ.01.02 «Государственное регулирование страховой деятельности в зарубежных странах» относится к обязательной части, является дисциплиной Блока Б1. «Дисциплины (модули)». Модуль "Профессиональная деятельность по управлению страховыми организациями"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Финансы страховых компаний</w:t>
            </w:r>
          </w:p>
          <w:p>
            <w:pPr>
              <w:jc w:val="center"/>
              <w:spacing w:after="0" w:line="240" w:lineRule="auto"/>
              <w:rPr>
                <w:sz w:val="22"/>
                <w:szCs w:val="22"/>
              </w:rPr>
            </w:pPr>
            <w:r>
              <w:rPr>
                <w:rFonts w:ascii="Times New Roman" w:hAnsi="Times New Roman" w:cs="Times New Roman"/>
                <w:color w:val="#000000"/>
                <w:sz w:val="22"/>
                <w:szCs w:val="22"/>
              </w:rPr>
              <w:t> Виды страхования и страховые продукты</w:t>
            </w:r>
          </w:p>
          <w:p>
            <w:pPr>
              <w:jc w:val="center"/>
              <w:spacing w:after="0" w:line="240" w:lineRule="auto"/>
              <w:rPr>
                <w:sz w:val="22"/>
                <w:szCs w:val="22"/>
              </w:rPr>
            </w:pPr>
            <w:r>
              <w:rPr>
                <w:rFonts w:ascii="Times New Roman" w:hAnsi="Times New Roman" w:cs="Times New Roman"/>
                <w:color w:val="#000000"/>
                <w:sz w:val="22"/>
                <w:szCs w:val="22"/>
              </w:rPr>
              <w:t> Корпоративное управление и корпоративная культура</w:t>
            </w:r>
          </w:p>
          <w:p>
            <w:pPr>
              <w:jc w:val="center"/>
              <w:spacing w:after="0" w:line="240" w:lineRule="auto"/>
              <w:rPr>
                <w:sz w:val="22"/>
                <w:szCs w:val="22"/>
              </w:rPr>
            </w:pPr>
            <w:r>
              <w:rPr>
                <w:rFonts w:ascii="Times New Roman" w:hAnsi="Times New Roman" w:cs="Times New Roman"/>
                <w:color w:val="#000000"/>
                <w:sz w:val="22"/>
                <w:szCs w:val="22"/>
              </w:rPr>
              <w:t> Управление проектами в страховании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Российский и мировой рынок перестрахования</w:t>
            </w:r>
          </w:p>
          <w:p>
            <w:pPr>
              <w:jc w:val="center"/>
              <w:spacing w:after="0" w:line="240" w:lineRule="auto"/>
              <w:rPr>
                <w:sz w:val="22"/>
                <w:szCs w:val="22"/>
              </w:rPr>
            </w:pPr>
            <w:r>
              <w:rPr>
                <w:rFonts w:ascii="Times New Roman" w:hAnsi="Times New Roman" w:cs="Times New Roman"/>
                <w:color w:val="#000000"/>
                <w:sz w:val="22"/>
                <w:szCs w:val="22"/>
              </w:rPr>
              <w:t> Саморегулируемые организации в сфере финансового рынка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Управление страховой деятельностью: понятие, направление, механизм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Модели регулирования страховой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Тема3.  Наднациональное (глобальное) регулирование страховой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Принципы регулирования и структура страховых рынков в странах с переходной экономикой (ЦВЕ)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 Качество жизни пожилого населения и страховые институты социальной защиты: зарубежный опыт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Анализ западного и отечественного опыта в вопросах организации</w:t>
            </w:r>
          </w:p>
          <w:p>
            <w:pPr>
              <w:jc w:val="left"/>
              <w:spacing w:after="0" w:line="240" w:lineRule="auto"/>
              <w:rPr>
                <w:sz w:val="24"/>
                <w:szCs w:val="24"/>
              </w:rPr>
            </w:pPr>
            <w:r>
              <w:rPr>
                <w:rFonts w:ascii="Times New Roman" w:hAnsi="Times New Roman" w:cs="Times New Roman"/>
                <w:color w:val="#000000"/>
                <w:sz w:val="24"/>
                <w:szCs w:val="24"/>
              </w:rPr>
              <w:t> механизмов и институтов пенсионного страхования и гериатрической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Обоснование механизмов стимулирования населения к финансовому участию в страховании медицинской помощи и социального обслуживания в периоды старших возрастов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Управление страховой деятельностью: понятие, направление, механизм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Модели регулирования страховой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Тема3.  Наднациональное (глобальное) регулирование страховой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Принципы регулирования и структура страховых рынков в странах с переходной экономикой (ЦВЕ)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 Качество жизни пожилого населения и страховые институты социальной защиты: зарубежный опыт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Анализ западного и отечественного опыта в вопросах организации</w:t>
            </w:r>
          </w:p>
          <w:p>
            <w:pPr>
              <w:jc w:val="left"/>
              <w:spacing w:after="0" w:line="240" w:lineRule="auto"/>
              <w:rPr>
                <w:sz w:val="24"/>
                <w:szCs w:val="24"/>
              </w:rPr>
            </w:pPr>
            <w:r>
              <w:rPr>
                <w:rFonts w:ascii="Times New Roman" w:hAnsi="Times New Roman" w:cs="Times New Roman"/>
                <w:color w:val="#000000"/>
                <w:sz w:val="24"/>
                <w:szCs w:val="24"/>
              </w:rPr>
              <w:t> механизмов и институтов пенсионного страхования и гериатрической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Обоснование механизмов стимулирования населения к финансовому участию в страховании медицинской помощи и социального обслуживания в периоды старших возрастов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390.42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Управление страховой деятельностью: понятие, направление, механизм регулирования</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Мировые финансы и глобальное государственное регулирование. Понятие и направления государственного регулирования страховой деятельности. Модель и механизм регулирования: участники, цели, инструменты и структура рынка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Модели регулирования страховой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Континентальная европейская модель регулирования страховой деятельности. Англо- американская либеральная модель регулирования. Евроазиатские модели регулирования страхования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Тема3.  Наднациональное (глобальное) регулирование страховой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Мировой рынок страхования: международные сопоставления показателей развития по странам и регионам мира. Финансовые конгломераты — объект государственного и межгосударственного регулирования. Глобальное регулирование сложных финансовых институтов</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Принципы регулирования и структура страховых рынков в странах с переходной экономикой (ЦВЕ)</w:t>
            </w:r>
          </w:p>
        </w:tc>
      </w:tr>
      <w:tr>
        <w:trPr>
          <w:trHeight w:hRule="exact" w:val="294.73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Регулирование страховой деятельности в странах с переходной экономикой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Регулирование социального страхования и пенсионного обеспечения. Регулирование социального страхования. Пенсионное обеспечение</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 Качество жизни пожилого населения и страховые институты социальной защиты: зарубежный опыт</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Качество жизни пожилого населения: содержание понятия и способы оценки. Страховые институты социальной защиты населения. Страховые и социально-обеспечительные концепции в сфере пенсионного страхования. Социальная защита пожилых в условиях распространения «серебряной экономики». Реализации политики в отношении пожилых людей - задача всего общества: рекомендации международных организаций.</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Анализ западного и отечественного опыта в вопросах организации</w:t>
            </w:r>
          </w:p>
          <w:p>
            <w:pPr>
              <w:jc w:val="center"/>
              <w:spacing w:after="0" w:line="240" w:lineRule="auto"/>
              <w:rPr>
                <w:sz w:val="24"/>
                <w:szCs w:val="24"/>
              </w:rPr>
            </w:pPr>
            <w:r>
              <w:rPr>
                <w:rFonts w:ascii="Times New Roman" w:hAnsi="Times New Roman" w:cs="Times New Roman"/>
                <w:b/>
                <w:color w:val="#000000"/>
                <w:sz w:val="24"/>
                <w:szCs w:val="24"/>
              </w:rPr>
              <w:t> механизмов и институтов пенсионного страхования и гериатрической помощи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Великобритания: модель пенсионного страхования, здравоохранения и социального ухода за пожилыми людьми. Германия: пенсионное и медицинское страхование, государственная политика социальной поддержки пожилых граждан и организация гериатрического страхования. США: социальная защита пожилых. Чехия: государственная политика по обеспечению качества жизни пожилого населения. Китай: расширение социальной защиты пожилых. Сопоставительный анализ основных моделей социального ухода за пожилыми людьми</w:t>
            </w: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Обоснование механизмов стимулирования населения к финансовому участию в страховании медицинской помощи и социального обслуживания в периоды старших возрастов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Старение населения и отношение к пожилым в зарубежном социуме. Цели, принципы и функции гериатрического страхования. Повышение доступа к качественной медицинской помощи и расширение услуг по долгосрочному уходу в западных странах. Выбор работником личной пенсионной стратегии. Пути личного участия населения в финансировании страхования медицинской помощи и социального обслуживания в периоды старших возрастов.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Управление страховой деятельностью: понятие, направление, механизм регулирования</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Глобализация мировых финансов и теоретические основы государственного регулирования финансового рынка</w:t>
            </w:r>
          </w:p>
          <w:p>
            <w:pPr>
              <w:jc w:val="left"/>
              <w:spacing w:after="0" w:line="240" w:lineRule="auto"/>
              <w:rPr>
                <w:sz w:val="24"/>
                <w:szCs w:val="24"/>
              </w:rPr>
            </w:pPr>
            <w:r>
              <w:rPr>
                <w:rFonts w:ascii="Times New Roman" w:hAnsi="Times New Roman" w:cs="Times New Roman"/>
                <w:color w:val="#000000"/>
                <w:sz w:val="24"/>
                <w:szCs w:val="24"/>
              </w:rPr>
              <w:t> 2.	Страховой рынок как объект регулирования</w:t>
            </w:r>
          </w:p>
          <w:p>
            <w:pPr>
              <w:jc w:val="left"/>
              <w:spacing w:after="0" w:line="240" w:lineRule="auto"/>
              <w:rPr>
                <w:sz w:val="24"/>
                <w:szCs w:val="24"/>
              </w:rPr>
            </w:pPr>
            <w:r>
              <w:rPr>
                <w:rFonts w:ascii="Times New Roman" w:hAnsi="Times New Roman" w:cs="Times New Roman"/>
                <w:color w:val="#000000"/>
                <w:sz w:val="24"/>
                <w:szCs w:val="24"/>
              </w:rPr>
              <w:t> 3.	Экономика мирового страхования</w:t>
            </w:r>
          </w:p>
          <w:p>
            <w:pPr>
              <w:jc w:val="left"/>
              <w:spacing w:after="0" w:line="240" w:lineRule="auto"/>
              <w:rPr>
                <w:sz w:val="24"/>
                <w:szCs w:val="24"/>
              </w:rPr>
            </w:pPr>
            <w:r>
              <w:rPr>
                <w:rFonts w:ascii="Times New Roman" w:hAnsi="Times New Roman" w:cs="Times New Roman"/>
                <w:color w:val="#000000"/>
                <w:sz w:val="24"/>
                <w:szCs w:val="24"/>
              </w:rPr>
              <w:t> 4.	Система регулирования страхового рынка</w:t>
            </w:r>
          </w:p>
          <w:p>
            <w:pPr>
              <w:jc w:val="left"/>
              <w:spacing w:after="0" w:line="240" w:lineRule="auto"/>
              <w:rPr>
                <w:sz w:val="24"/>
                <w:szCs w:val="24"/>
              </w:rPr>
            </w:pPr>
            <w:r>
              <w:rPr>
                <w:rFonts w:ascii="Times New Roman" w:hAnsi="Times New Roman" w:cs="Times New Roman"/>
                <w:color w:val="#000000"/>
                <w:sz w:val="24"/>
                <w:szCs w:val="24"/>
              </w:rPr>
              <w:t> 5.	Направления государственного регулирования Круглый стол «Зарубежный опыт организации саморегулирования на рынке ценных бумаг и негосударственных пенсионных фондов»страхования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Модели регулирования страховой деятельности</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Правовое регулирование страховой деятельности в Евросоюзе</w:t>
            </w:r>
          </w:p>
          <w:p>
            <w:pPr>
              <w:jc w:val="left"/>
              <w:spacing w:after="0" w:line="240" w:lineRule="auto"/>
              <w:rPr>
                <w:sz w:val="24"/>
                <w:szCs w:val="24"/>
              </w:rPr>
            </w:pPr>
            <w:r>
              <w:rPr>
                <w:rFonts w:ascii="Times New Roman" w:hAnsi="Times New Roman" w:cs="Times New Roman"/>
                <w:color w:val="#000000"/>
                <w:sz w:val="24"/>
                <w:szCs w:val="24"/>
              </w:rPr>
              <w:t> 2.	Показатели развития европейского страхового рынка</w:t>
            </w:r>
          </w:p>
          <w:p>
            <w:pPr>
              <w:jc w:val="left"/>
              <w:spacing w:after="0" w:line="240" w:lineRule="auto"/>
              <w:rPr>
                <w:sz w:val="24"/>
                <w:szCs w:val="24"/>
              </w:rPr>
            </w:pPr>
            <w:r>
              <w:rPr>
                <w:rFonts w:ascii="Times New Roman" w:hAnsi="Times New Roman" w:cs="Times New Roman"/>
                <w:color w:val="#000000"/>
                <w:sz w:val="24"/>
                <w:szCs w:val="24"/>
              </w:rPr>
              <w:t> 3.	Модификация моделей регулирования: наднациональные, региональные и национальные сценарии</w:t>
            </w:r>
          </w:p>
          <w:p>
            <w:pPr>
              <w:jc w:val="left"/>
              <w:spacing w:after="0" w:line="240" w:lineRule="auto"/>
              <w:rPr>
                <w:sz w:val="24"/>
                <w:szCs w:val="24"/>
              </w:rPr>
            </w:pPr>
            <w:r>
              <w:rPr>
                <w:rFonts w:ascii="Times New Roman" w:hAnsi="Times New Roman" w:cs="Times New Roman"/>
                <w:color w:val="#000000"/>
                <w:sz w:val="24"/>
                <w:szCs w:val="24"/>
              </w:rPr>
              <w:t> 4.	Показатели развития американского страхового рынка</w:t>
            </w:r>
          </w:p>
          <w:p>
            <w:pPr>
              <w:jc w:val="left"/>
              <w:spacing w:after="0" w:line="240" w:lineRule="auto"/>
              <w:rPr>
                <w:sz w:val="24"/>
                <w:szCs w:val="24"/>
              </w:rPr>
            </w:pPr>
            <w:r>
              <w:rPr>
                <w:rFonts w:ascii="Times New Roman" w:hAnsi="Times New Roman" w:cs="Times New Roman"/>
                <w:color w:val="#000000"/>
                <w:sz w:val="24"/>
                <w:szCs w:val="24"/>
              </w:rPr>
              <w:t> 5.	Евроазиатские модели регулирования страхования</w:t>
            </w:r>
          </w:p>
          <w:p>
            <w:pPr>
              <w:jc w:val="left"/>
              <w:spacing w:after="0" w:line="240" w:lineRule="auto"/>
              <w:rPr>
                <w:sz w:val="24"/>
                <w:szCs w:val="24"/>
              </w:rPr>
            </w:pPr>
            <w:r>
              <w:rPr>
                <w:rFonts w:ascii="Times New Roman" w:hAnsi="Times New Roman" w:cs="Times New Roman"/>
                <w:color w:val="#000000"/>
                <w:sz w:val="24"/>
                <w:szCs w:val="24"/>
              </w:rPr>
              <w:t> 6.	Исламская модель регулирования страховой деятельности (Такафул)</w:t>
            </w:r>
          </w:p>
          <w:p>
            <w:pPr>
              <w:jc w:val="left"/>
              <w:spacing w:after="0" w:line="240" w:lineRule="auto"/>
              <w:rPr>
                <w:sz w:val="24"/>
                <w:szCs w:val="24"/>
              </w:rPr>
            </w:pPr>
            <w:r>
              <w:rPr>
                <w:rFonts w:ascii="Times New Roman" w:hAnsi="Times New Roman" w:cs="Times New Roman"/>
                <w:color w:val="#000000"/>
                <w:sz w:val="24"/>
                <w:szCs w:val="24"/>
              </w:rPr>
              <w:t> 7.	Конфуцианская модель</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Тема3.  Наднациональное (глобальное) регулирование страховой деятельности</w:t>
            </w:r>
          </w:p>
        </w:tc>
      </w:tr>
      <w:tr>
        <w:trPr>
          <w:trHeight w:hRule="exact" w:val="21.31518"/>
        </w:trPr>
        <w:tc>
          <w:tcPr>
            <w:tcW w:w="9640" w:type="dxa"/>
          </w:tcPr>
          <w:p/>
        </w:tc>
      </w:tr>
      <w:tr>
        <w:trPr>
          <w:trHeight w:hRule="exact" w:val="951.97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Мировой рынок страхования: международные сопоставления показателей развития по странам и регионам мира</w:t>
            </w:r>
          </w:p>
          <w:p>
            <w:pPr>
              <w:jc w:val="left"/>
              <w:spacing w:after="0" w:line="240" w:lineRule="auto"/>
              <w:rPr>
                <w:sz w:val="24"/>
                <w:szCs w:val="24"/>
              </w:rPr>
            </w:pPr>
            <w:r>
              <w:rPr>
                <w:rFonts w:ascii="Times New Roman" w:hAnsi="Times New Roman" w:cs="Times New Roman"/>
                <w:color w:val="#000000"/>
                <w:sz w:val="24"/>
                <w:szCs w:val="24"/>
              </w:rPr>
              <w:t> 2.	Особенности формирования мирового страхового рынка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Показатели уровня и темпов развития страхового рынка по странам и регионам мирового хозяйства</w:t>
            </w:r>
          </w:p>
          <w:p>
            <w:pPr>
              <w:jc w:val="left"/>
              <w:spacing w:after="0" w:line="240" w:lineRule="auto"/>
              <w:rPr>
                <w:sz w:val="24"/>
                <w:szCs w:val="24"/>
              </w:rPr>
            </w:pPr>
            <w:r>
              <w:rPr>
                <w:rFonts w:ascii="Times New Roman" w:hAnsi="Times New Roman" w:cs="Times New Roman"/>
                <w:color w:val="#000000"/>
                <w:sz w:val="24"/>
                <w:szCs w:val="24"/>
              </w:rPr>
              <w:t> 4.	Понятие и теория финансовой конвергенции</w:t>
            </w:r>
          </w:p>
          <w:p>
            <w:pPr>
              <w:jc w:val="left"/>
              <w:spacing w:after="0" w:line="240" w:lineRule="auto"/>
              <w:rPr>
                <w:sz w:val="24"/>
                <w:szCs w:val="24"/>
              </w:rPr>
            </w:pPr>
            <w:r>
              <w:rPr>
                <w:rFonts w:ascii="Times New Roman" w:hAnsi="Times New Roman" w:cs="Times New Roman"/>
                <w:color w:val="#000000"/>
                <w:sz w:val="24"/>
                <w:szCs w:val="24"/>
              </w:rPr>
              <w:t> 5.	Классификация финансовой конгломерации</w:t>
            </w:r>
          </w:p>
          <w:p>
            <w:pPr>
              <w:jc w:val="left"/>
              <w:spacing w:after="0" w:line="240" w:lineRule="auto"/>
              <w:rPr>
                <w:sz w:val="24"/>
                <w:szCs w:val="24"/>
              </w:rPr>
            </w:pPr>
            <w:r>
              <w:rPr>
                <w:rFonts w:ascii="Times New Roman" w:hAnsi="Times New Roman" w:cs="Times New Roman"/>
                <w:color w:val="#000000"/>
                <w:sz w:val="24"/>
                <w:szCs w:val="24"/>
              </w:rPr>
              <w:t> 6.	Мировой опыт регулирования финансового рынка в контексте финансовой конвергенции</w:t>
            </w:r>
          </w:p>
          <w:p>
            <w:pPr>
              <w:jc w:val="left"/>
              <w:spacing w:after="0" w:line="240" w:lineRule="auto"/>
              <w:rPr>
                <w:sz w:val="24"/>
                <w:szCs w:val="24"/>
              </w:rPr>
            </w:pPr>
            <w:r>
              <w:rPr>
                <w:rFonts w:ascii="Times New Roman" w:hAnsi="Times New Roman" w:cs="Times New Roman"/>
                <w:color w:val="#000000"/>
                <w:sz w:val="24"/>
                <w:szCs w:val="24"/>
              </w:rPr>
              <w:t> 7.	Круглый стол «Регулирование международного страхового рынка»</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Принципы регулирования и структура страховых рынков в странах с переходной экономикой (ЦВЕ)</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Принципы регулирования страховой деятельности в странах с переходной экономикой: Центральная и Восточная Европа</w:t>
            </w:r>
          </w:p>
          <w:p>
            <w:pPr>
              <w:jc w:val="left"/>
              <w:spacing w:after="0" w:line="240" w:lineRule="auto"/>
              <w:rPr>
                <w:sz w:val="24"/>
                <w:szCs w:val="24"/>
              </w:rPr>
            </w:pPr>
            <w:r>
              <w:rPr>
                <w:rFonts w:ascii="Times New Roman" w:hAnsi="Times New Roman" w:cs="Times New Roman"/>
                <w:color w:val="#000000"/>
                <w:sz w:val="24"/>
                <w:szCs w:val="24"/>
              </w:rPr>
              <w:t> 2.	Гармонизация страхового законодательства с директивами ЕС</w:t>
            </w:r>
          </w:p>
          <w:p>
            <w:pPr>
              <w:jc w:val="left"/>
              <w:spacing w:after="0" w:line="240" w:lineRule="auto"/>
              <w:rPr>
                <w:sz w:val="24"/>
                <w:szCs w:val="24"/>
              </w:rPr>
            </w:pPr>
            <w:r>
              <w:rPr>
                <w:rFonts w:ascii="Times New Roman" w:hAnsi="Times New Roman" w:cs="Times New Roman"/>
                <w:color w:val="#000000"/>
                <w:sz w:val="24"/>
                <w:szCs w:val="24"/>
              </w:rPr>
              <w:t> 3.	Показатели развития страхового рынка стран ЦВЕ</w:t>
            </w:r>
          </w:p>
          <w:p>
            <w:pPr>
              <w:jc w:val="left"/>
              <w:spacing w:after="0" w:line="240" w:lineRule="auto"/>
              <w:rPr>
                <w:sz w:val="24"/>
                <w:szCs w:val="24"/>
              </w:rPr>
            </w:pPr>
            <w:r>
              <w:rPr>
                <w:rFonts w:ascii="Times New Roman" w:hAnsi="Times New Roman" w:cs="Times New Roman"/>
                <w:color w:val="#000000"/>
                <w:sz w:val="24"/>
                <w:szCs w:val="24"/>
              </w:rPr>
              <w:t> 4.	Круглый стол  «Тенденции и перспективы развития страхового дела за рубежом»</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 Качество жизни пожилого населения и страховые институты социальной защиты: зарубежный опыт</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Качество жизни пожилого населения: содержание понятия и способы оценки</w:t>
            </w:r>
          </w:p>
          <w:p>
            <w:pPr>
              <w:jc w:val="left"/>
              <w:spacing w:after="0" w:line="240" w:lineRule="auto"/>
              <w:rPr>
                <w:sz w:val="24"/>
                <w:szCs w:val="24"/>
              </w:rPr>
            </w:pPr>
            <w:r>
              <w:rPr>
                <w:rFonts w:ascii="Times New Roman" w:hAnsi="Times New Roman" w:cs="Times New Roman"/>
                <w:color w:val="#000000"/>
                <w:sz w:val="24"/>
                <w:szCs w:val="24"/>
              </w:rPr>
              <w:t> 2.	Страховые институты социальной защиты населения</w:t>
            </w:r>
          </w:p>
          <w:p>
            <w:pPr>
              <w:jc w:val="left"/>
              <w:spacing w:after="0" w:line="240" w:lineRule="auto"/>
              <w:rPr>
                <w:sz w:val="24"/>
                <w:szCs w:val="24"/>
              </w:rPr>
            </w:pPr>
            <w:r>
              <w:rPr>
                <w:rFonts w:ascii="Times New Roman" w:hAnsi="Times New Roman" w:cs="Times New Roman"/>
                <w:color w:val="#000000"/>
                <w:sz w:val="24"/>
                <w:szCs w:val="24"/>
              </w:rPr>
              <w:t> 3.	Страховые и социально-обеспечительные концепции в сфере пенсионного страхования</w:t>
            </w:r>
          </w:p>
          <w:p>
            <w:pPr>
              <w:jc w:val="left"/>
              <w:spacing w:after="0" w:line="240" w:lineRule="auto"/>
              <w:rPr>
                <w:sz w:val="24"/>
                <w:szCs w:val="24"/>
              </w:rPr>
            </w:pPr>
            <w:r>
              <w:rPr>
                <w:rFonts w:ascii="Times New Roman" w:hAnsi="Times New Roman" w:cs="Times New Roman"/>
                <w:color w:val="#000000"/>
                <w:sz w:val="24"/>
                <w:szCs w:val="24"/>
              </w:rPr>
              <w:t> 4.	Социальная защита пожилых в условиях распространения «серебряной экономики»</w:t>
            </w:r>
          </w:p>
          <w:p>
            <w:pPr>
              <w:jc w:val="left"/>
              <w:spacing w:after="0" w:line="240" w:lineRule="auto"/>
              <w:rPr>
                <w:sz w:val="24"/>
                <w:szCs w:val="24"/>
              </w:rPr>
            </w:pPr>
            <w:r>
              <w:rPr>
                <w:rFonts w:ascii="Times New Roman" w:hAnsi="Times New Roman" w:cs="Times New Roman"/>
                <w:color w:val="#000000"/>
                <w:sz w:val="24"/>
                <w:szCs w:val="24"/>
              </w:rPr>
              <w:t> 5.	Реализации политики в отношении пожилых людей — задача всего общества: рекомендации международных организаций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Анализ западного и отечественного опыта в вопросах организации</w:t>
            </w:r>
          </w:p>
          <w:p>
            <w:pPr>
              <w:jc w:val="center"/>
              <w:spacing w:after="0" w:line="240" w:lineRule="auto"/>
              <w:rPr>
                <w:sz w:val="24"/>
                <w:szCs w:val="24"/>
              </w:rPr>
            </w:pPr>
            <w:r>
              <w:rPr>
                <w:rFonts w:ascii="Times New Roman" w:hAnsi="Times New Roman" w:cs="Times New Roman"/>
                <w:b/>
                <w:color w:val="#000000"/>
                <w:sz w:val="24"/>
                <w:szCs w:val="24"/>
              </w:rPr>
              <w:t> механизмов и институтов пенсионного страхования и гериатрической помощи</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Великобритания: модель пенсионного страхования, здравоохранения и социального ухода за пожилыми людьми</w:t>
            </w:r>
          </w:p>
          <w:p>
            <w:pPr>
              <w:jc w:val="left"/>
              <w:spacing w:after="0" w:line="240" w:lineRule="auto"/>
              <w:rPr>
                <w:sz w:val="24"/>
                <w:szCs w:val="24"/>
              </w:rPr>
            </w:pPr>
            <w:r>
              <w:rPr>
                <w:rFonts w:ascii="Times New Roman" w:hAnsi="Times New Roman" w:cs="Times New Roman"/>
                <w:color w:val="#000000"/>
                <w:sz w:val="24"/>
                <w:szCs w:val="24"/>
              </w:rPr>
              <w:t> 2.	Германия: пенсионное и медицинское страхование, государственная политика социальной поддержки пожилых граждан и организация гериатрического страхования</w:t>
            </w:r>
          </w:p>
          <w:p>
            <w:pPr>
              <w:jc w:val="left"/>
              <w:spacing w:after="0" w:line="240" w:lineRule="auto"/>
              <w:rPr>
                <w:sz w:val="24"/>
                <w:szCs w:val="24"/>
              </w:rPr>
            </w:pPr>
            <w:r>
              <w:rPr>
                <w:rFonts w:ascii="Times New Roman" w:hAnsi="Times New Roman" w:cs="Times New Roman"/>
                <w:color w:val="#000000"/>
                <w:sz w:val="24"/>
                <w:szCs w:val="24"/>
              </w:rPr>
              <w:t> 3.	США: социальная защита пожилых</w:t>
            </w:r>
          </w:p>
          <w:p>
            <w:pPr>
              <w:jc w:val="left"/>
              <w:spacing w:after="0" w:line="240" w:lineRule="auto"/>
              <w:rPr>
                <w:sz w:val="24"/>
                <w:szCs w:val="24"/>
              </w:rPr>
            </w:pPr>
            <w:r>
              <w:rPr>
                <w:rFonts w:ascii="Times New Roman" w:hAnsi="Times New Roman" w:cs="Times New Roman"/>
                <w:color w:val="#000000"/>
                <w:sz w:val="24"/>
                <w:szCs w:val="24"/>
              </w:rPr>
              <w:t> 4.	Чехия: государственная политика по обеспечению качества жизни пожилого населения</w:t>
            </w:r>
          </w:p>
          <w:p>
            <w:pPr>
              <w:jc w:val="left"/>
              <w:spacing w:after="0" w:line="240" w:lineRule="auto"/>
              <w:rPr>
                <w:sz w:val="24"/>
                <w:szCs w:val="24"/>
              </w:rPr>
            </w:pPr>
            <w:r>
              <w:rPr>
                <w:rFonts w:ascii="Times New Roman" w:hAnsi="Times New Roman" w:cs="Times New Roman"/>
                <w:color w:val="#000000"/>
                <w:sz w:val="24"/>
                <w:szCs w:val="24"/>
              </w:rPr>
              <w:t> 5.	Китай: расширение социальной защиты пожилых</w:t>
            </w:r>
          </w:p>
          <w:p>
            <w:pPr>
              <w:jc w:val="left"/>
              <w:spacing w:after="0" w:line="240" w:lineRule="auto"/>
              <w:rPr>
                <w:sz w:val="24"/>
                <w:szCs w:val="24"/>
              </w:rPr>
            </w:pPr>
            <w:r>
              <w:rPr>
                <w:rFonts w:ascii="Times New Roman" w:hAnsi="Times New Roman" w:cs="Times New Roman"/>
                <w:color w:val="#000000"/>
                <w:sz w:val="24"/>
                <w:szCs w:val="24"/>
              </w:rPr>
              <w:t> 6.	Сопоставительный анализ основных моделей социального ухода за пожилыми людьми</w:t>
            </w:r>
          </w:p>
        </w:tc>
      </w:tr>
      <w:tr>
        <w:trPr>
          <w:trHeight w:hRule="exact" w:val="8.08571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Обоснование механизмов стимулирования населения к финансовому участию в страховании медицинской помощи и социального обслуживания в периоды старших возрастов</w:t>
            </w:r>
          </w:p>
        </w:tc>
      </w:tr>
      <w:tr>
        <w:trPr>
          <w:trHeight w:hRule="exact" w:val="21.3142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Цели, принципы и функции гериатрического страхования</w:t>
            </w:r>
          </w:p>
          <w:p>
            <w:pPr>
              <w:jc w:val="left"/>
              <w:spacing w:after="0" w:line="240" w:lineRule="auto"/>
              <w:rPr>
                <w:sz w:val="24"/>
                <w:szCs w:val="24"/>
              </w:rPr>
            </w:pPr>
            <w:r>
              <w:rPr>
                <w:rFonts w:ascii="Times New Roman" w:hAnsi="Times New Roman" w:cs="Times New Roman"/>
                <w:color w:val="#000000"/>
                <w:sz w:val="24"/>
                <w:szCs w:val="24"/>
              </w:rPr>
              <w:t> 2.	Повышение доступа к качественной медицинской помощи и расширение услуг по долгосрочному уходу в западных странах</w:t>
            </w:r>
          </w:p>
          <w:p>
            <w:pPr>
              <w:jc w:val="left"/>
              <w:spacing w:after="0" w:line="240" w:lineRule="auto"/>
              <w:rPr>
                <w:sz w:val="24"/>
                <w:szCs w:val="24"/>
              </w:rPr>
            </w:pPr>
            <w:r>
              <w:rPr>
                <w:rFonts w:ascii="Times New Roman" w:hAnsi="Times New Roman" w:cs="Times New Roman"/>
                <w:color w:val="#000000"/>
                <w:sz w:val="24"/>
                <w:szCs w:val="24"/>
              </w:rPr>
              <w:t> 3.	Выбор работником личной пенсионной стратегии</w:t>
            </w:r>
          </w:p>
          <w:p>
            <w:pPr>
              <w:jc w:val="left"/>
              <w:spacing w:after="0" w:line="240" w:lineRule="auto"/>
              <w:rPr>
                <w:sz w:val="24"/>
                <w:szCs w:val="24"/>
              </w:rPr>
            </w:pPr>
            <w:r>
              <w:rPr>
                <w:rFonts w:ascii="Times New Roman" w:hAnsi="Times New Roman" w:cs="Times New Roman"/>
                <w:color w:val="#000000"/>
                <w:sz w:val="24"/>
                <w:szCs w:val="24"/>
              </w:rPr>
              <w:t> 4.	Пути личного участия населения в финансировании страхования медицинской помощи и социального обслуживания в периоды старших возрастов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«Государственное регулирование страховой деятельности в зарубежных странах»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качество</w:t>
            </w:r>
            <w:r>
              <w:rPr/>
              <w:t xml:space="preserve"> </w:t>
            </w:r>
            <w:r>
              <w:rPr>
                <w:rFonts w:ascii="Times New Roman" w:hAnsi="Times New Roman" w:cs="Times New Roman"/>
                <w:color w:val="#000000"/>
                <w:sz w:val="24"/>
                <w:szCs w:val="24"/>
              </w:rPr>
              <w:t>жизни</w:t>
            </w:r>
            <w:r>
              <w:rPr/>
              <w:t xml:space="preserve"> </w:t>
            </w:r>
            <w:r>
              <w:rPr>
                <w:rFonts w:ascii="Times New Roman" w:hAnsi="Times New Roman" w:cs="Times New Roman"/>
                <w:color w:val="#000000"/>
                <w:sz w:val="24"/>
                <w:szCs w:val="24"/>
              </w:rPr>
              <w:t>пожилого</w:t>
            </w:r>
            <w:r>
              <w:rPr/>
              <w:t xml:space="preserve"> </w:t>
            </w:r>
            <w:r>
              <w:rPr>
                <w:rFonts w:ascii="Times New Roman" w:hAnsi="Times New Roman" w:cs="Times New Roman"/>
                <w:color w:val="#000000"/>
                <w:sz w:val="24"/>
                <w:szCs w:val="24"/>
              </w:rPr>
              <w:t>населения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страховые</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защиты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978-5-534-07460-4.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https://urait.ru/bcode/442258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страховой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Белозёров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978-5-9916-4097-8.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https://www.biblio-online.ru/bcode/432799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страховой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Белозёров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978-5-9916-4097-8.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https://urait.ru/bcode/450211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качество</w:t>
            </w:r>
            <w:r>
              <w:rPr/>
              <w:t xml:space="preserve"> </w:t>
            </w:r>
            <w:r>
              <w:rPr>
                <w:rFonts w:ascii="Times New Roman" w:hAnsi="Times New Roman" w:cs="Times New Roman"/>
                <w:color w:val="#000000"/>
                <w:sz w:val="24"/>
                <w:szCs w:val="24"/>
              </w:rPr>
              <w:t>жизни</w:t>
            </w:r>
            <w:r>
              <w:rPr/>
              <w:t xml:space="preserve"> </w:t>
            </w:r>
            <w:r>
              <w:rPr>
                <w:rFonts w:ascii="Times New Roman" w:hAnsi="Times New Roman" w:cs="Times New Roman"/>
                <w:color w:val="#000000"/>
                <w:sz w:val="24"/>
                <w:szCs w:val="24"/>
              </w:rPr>
              <w:t>пожилого</w:t>
            </w:r>
            <w:r>
              <w:rPr/>
              <w:t xml:space="preserve"> </w:t>
            </w:r>
            <w:r>
              <w:rPr>
                <w:rFonts w:ascii="Times New Roman" w:hAnsi="Times New Roman" w:cs="Times New Roman"/>
                <w:color w:val="#000000"/>
                <w:sz w:val="24"/>
                <w:szCs w:val="24"/>
              </w:rPr>
              <w:t>населения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страховые</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защиты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978-5-534-07460-4.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https://urait.ru/bcode/423113</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2024-2025_ФГОС3++2024_Бак-ОФО-Э(УРиСД)(24)_plx_Государственное регулирование страховой деятельности в зарубежных странах</dc:title>
  <dc:creator>FastReport.NET</dc:creator>
</cp:coreProperties>
</file>